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F45C9B">
      <w:pPr>
        <w:widowControl/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2"/>
        </w:rPr>
        <w:t>附件</w:t>
      </w:r>
    </w:p>
    <w:p w14:paraId="08A21705">
      <w:pPr>
        <w:widowControl/>
        <w:spacing w:line="560" w:lineRule="exact"/>
        <w:jc w:val="left"/>
        <w:rPr>
          <w:rFonts w:ascii="黑体" w:hAnsi="黑体" w:eastAsia="黑体" w:cs="Times New Roman"/>
          <w:sz w:val="32"/>
          <w:szCs w:val="32"/>
        </w:rPr>
      </w:pPr>
    </w:p>
    <w:p w14:paraId="3D8A25F0">
      <w:pPr>
        <w:spacing w:line="560" w:lineRule="exact"/>
        <w:rPr>
          <w:rFonts w:ascii="黑体" w:hAnsi="黑体" w:eastAsia="黑体" w:cs="Times New Roman"/>
          <w:sz w:val="40"/>
          <w:szCs w:val="40"/>
        </w:rPr>
      </w:pPr>
    </w:p>
    <w:p w14:paraId="0971C547">
      <w:pPr>
        <w:spacing w:line="480" w:lineRule="auto"/>
        <w:jc w:val="center"/>
        <w:rPr>
          <w:rFonts w:hint="eastAsia" w:ascii="华文中宋" w:hAnsi="华文中宋" w:eastAsia="华文中宋" w:cs="华文中宋"/>
          <w:b/>
          <w:bCs/>
          <w:color w:val="000000" w:themeColor="text1"/>
          <w:sz w:val="40"/>
          <w:szCs w:val="4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华文中宋"/>
          <w:b/>
          <w:bCs/>
          <w:color w:val="000000" w:themeColor="text1"/>
          <w:sz w:val="40"/>
          <w:szCs w:val="40"/>
          <w:lang w:val="en-US" w:eastAsia="zh-CN"/>
          <w14:textFill>
            <w14:solidFill>
              <w14:schemeClr w14:val="tx1"/>
            </w14:solidFill>
          </w14:textFill>
        </w:rPr>
        <w:t>2026数据要素赋能新型工业化大赛</w:t>
      </w:r>
    </w:p>
    <w:p w14:paraId="0FCB44C5">
      <w:pPr>
        <w:spacing w:line="480" w:lineRule="auto"/>
        <w:jc w:val="center"/>
        <w:rPr>
          <w:rFonts w:hint="eastAsia" w:ascii="华文中宋" w:hAnsi="华文中宋" w:eastAsia="华文中宋" w:cs="华文中宋"/>
          <w:b/>
          <w:bCs/>
          <w:color w:val="000000" w:themeColor="text1"/>
          <w:sz w:val="40"/>
          <w:szCs w:val="4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华文中宋"/>
          <w:b/>
          <w:bCs/>
          <w:color w:val="000000" w:themeColor="text1"/>
          <w:sz w:val="40"/>
          <w:szCs w:val="40"/>
          <w:lang w:val="en-US" w:eastAsia="zh-CN"/>
          <w14:textFill>
            <w14:solidFill>
              <w14:schemeClr w14:val="tx1"/>
            </w14:solidFill>
          </w14:textFill>
        </w:rPr>
        <w:t>申报书</w:t>
      </w:r>
    </w:p>
    <w:p w14:paraId="75C57867">
      <w:pPr>
        <w:spacing w:line="560" w:lineRule="exact"/>
        <w:jc w:val="left"/>
        <w:rPr>
          <w:rFonts w:hint="eastAsia" w:ascii="仿宋_GB2312" w:hAnsi="仿宋_GB2312" w:eastAsia="仿宋_GB2312"/>
          <w:sz w:val="32"/>
          <w:szCs w:val="32"/>
        </w:rPr>
      </w:pPr>
    </w:p>
    <w:p w14:paraId="52539731">
      <w:pPr>
        <w:widowControl/>
        <w:autoSpaceDN w:val="0"/>
        <w:spacing w:line="560" w:lineRule="exact"/>
        <w:ind w:firstLine="1040"/>
        <w:jc w:val="center"/>
        <w:rPr>
          <w:rFonts w:ascii="Times New Roman" w:hAnsi="Times New Roman" w:eastAsia="黑体" w:cs="Times New Roman"/>
          <w:kern w:val="0"/>
          <w:sz w:val="52"/>
        </w:rPr>
      </w:pPr>
    </w:p>
    <w:p w14:paraId="27B9BC8F">
      <w:pPr>
        <w:widowControl/>
        <w:autoSpaceDN w:val="0"/>
        <w:spacing w:line="560" w:lineRule="exact"/>
        <w:ind w:firstLine="723"/>
        <w:jc w:val="center"/>
        <w:rPr>
          <w:rFonts w:ascii="Times New Roman" w:hAnsi="Times New Roman" w:eastAsia="楷体_GB2312" w:cs="Times New Roman"/>
          <w:b/>
          <w:kern w:val="0"/>
          <w:sz w:val="36"/>
        </w:rPr>
      </w:pPr>
    </w:p>
    <w:p w14:paraId="075392E9">
      <w:pPr>
        <w:widowControl/>
        <w:autoSpaceDN w:val="0"/>
        <w:spacing w:line="560" w:lineRule="exact"/>
        <w:ind w:firstLine="723"/>
        <w:jc w:val="center"/>
        <w:rPr>
          <w:rFonts w:ascii="Times New Roman" w:hAnsi="Times New Roman" w:eastAsia="楷体_GB2312" w:cs="Times New Roman"/>
          <w:b/>
          <w:kern w:val="0"/>
          <w:sz w:val="36"/>
        </w:rPr>
      </w:pPr>
    </w:p>
    <w:p w14:paraId="3E03EB74">
      <w:pPr>
        <w:pStyle w:val="2"/>
        <w:rPr>
          <w:rFonts w:hint="eastAsia"/>
        </w:rPr>
      </w:pPr>
    </w:p>
    <w:p w14:paraId="24FC5B21">
      <w:pPr>
        <w:ind w:firstLine="320" w:firstLineChars="100"/>
        <w:rPr>
          <w:rFonts w:ascii="Times New Roman" w:hAnsi="Times New Roman" w:eastAsia="黑体"/>
          <w:sz w:val="32"/>
        </w:rPr>
      </w:pPr>
      <w:r>
        <w:rPr>
          <w:rFonts w:hint="eastAsia" w:ascii="华文中宋" w:hAnsi="华文中宋" w:eastAsia="华文中宋" w:cs="华文中宋"/>
          <w:sz w:val="32"/>
          <w:lang w:val="en-US" w:eastAsia="zh-CN"/>
        </w:rPr>
        <w:t>项目名称</w:t>
      </w:r>
      <w:r>
        <w:rPr>
          <w:rFonts w:hint="eastAsia" w:ascii="华文中宋" w:hAnsi="华文中宋" w:eastAsia="华文中宋" w:cs="华文中宋"/>
          <w:sz w:val="32"/>
        </w:rPr>
        <w:t>：</w:t>
      </w:r>
      <w:r>
        <w:rPr>
          <w:rFonts w:ascii="Times New Roman" w:hAnsi="Times New Roman" w:eastAsia="黑体"/>
          <w:sz w:val="32"/>
          <w:u w:val="single"/>
        </w:rPr>
        <w:t xml:space="preserve">                                      </w:t>
      </w:r>
    </w:p>
    <w:p w14:paraId="345F6362">
      <w:pPr>
        <w:widowControl/>
        <w:wordWrap w:val="0"/>
        <w:autoSpaceDN w:val="0"/>
        <w:spacing w:line="560" w:lineRule="exact"/>
        <w:jc w:val="left"/>
        <w:rPr>
          <w:rFonts w:ascii="仿宋_GB2312" w:hAnsi="仿宋_GB2312" w:eastAsia="仿宋_GB2312" w:cs="仿宋_GB2312"/>
          <w:kern w:val="0"/>
          <w:sz w:val="36"/>
        </w:rPr>
      </w:pPr>
    </w:p>
    <w:p w14:paraId="2532906D">
      <w:pPr>
        <w:pStyle w:val="5"/>
      </w:pPr>
    </w:p>
    <w:p w14:paraId="072CC9F6">
      <w:pPr>
        <w:widowControl/>
        <w:wordWrap w:val="0"/>
        <w:autoSpaceDN w:val="0"/>
        <w:spacing w:line="560" w:lineRule="exact"/>
        <w:ind w:firstLine="1440" w:firstLineChars="400"/>
        <w:jc w:val="left"/>
        <w:rPr>
          <w:rFonts w:ascii="仿宋_GB2312" w:hAnsi="仿宋_GB2312" w:eastAsia="仿宋_GB2312" w:cs="仿宋_GB2312"/>
          <w:kern w:val="0"/>
          <w:sz w:val="36"/>
        </w:rPr>
      </w:pPr>
    </w:p>
    <w:p w14:paraId="1DE7159A">
      <w:pPr>
        <w:widowControl/>
        <w:wordWrap w:val="0"/>
        <w:autoSpaceDN w:val="0"/>
        <w:spacing w:line="560" w:lineRule="exact"/>
        <w:ind w:firstLine="1440" w:firstLineChars="4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0"/>
          <w:sz w:val="36"/>
          <w:lang w:val="en-US" w:eastAsia="zh-CN"/>
        </w:rPr>
        <w:t>申报</w:t>
      </w:r>
      <w:r>
        <w:rPr>
          <w:rFonts w:hint="eastAsia" w:ascii="仿宋" w:hAnsi="仿宋" w:eastAsia="仿宋" w:cs="仿宋"/>
          <w:kern w:val="0"/>
          <w:sz w:val="36"/>
        </w:rPr>
        <w:t>单位：</w:t>
      </w:r>
      <w:r>
        <w:rPr>
          <w:rFonts w:hint="eastAsia" w:ascii="仿宋" w:hAnsi="仿宋" w:eastAsia="仿宋" w:cs="仿宋"/>
          <w:kern w:val="0"/>
          <w:sz w:val="36"/>
          <w:u w:val="single"/>
        </w:rPr>
        <w:t xml:space="preserve">                  （盖章）</w:t>
      </w:r>
    </w:p>
    <w:p w14:paraId="6DC0C4F7">
      <w:pPr>
        <w:widowControl/>
        <w:wordWrap w:val="0"/>
        <w:autoSpaceDN w:val="0"/>
        <w:spacing w:line="560" w:lineRule="exact"/>
        <w:ind w:firstLine="1440" w:firstLineChars="4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0"/>
          <w:sz w:val="36"/>
        </w:rPr>
        <w:t>联 系 人：</w:t>
      </w:r>
      <w:r>
        <w:rPr>
          <w:rFonts w:hint="eastAsia" w:ascii="仿宋" w:hAnsi="仿宋" w:eastAsia="仿宋" w:cs="仿宋"/>
          <w:kern w:val="0"/>
          <w:sz w:val="36"/>
          <w:u w:val="single"/>
        </w:rPr>
        <w:t xml:space="preserve">                          </w:t>
      </w:r>
    </w:p>
    <w:p w14:paraId="1F84D8DD">
      <w:pPr>
        <w:widowControl/>
        <w:wordWrap w:val="0"/>
        <w:autoSpaceDN w:val="0"/>
        <w:spacing w:line="560" w:lineRule="exact"/>
        <w:ind w:firstLine="1440" w:firstLineChars="400"/>
        <w:jc w:val="left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  <w:kern w:val="0"/>
          <w:sz w:val="36"/>
        </w:rPr>
        <w:t>联系电话：</w:t>
      </w:r>
      <w:r>
        <w:rPr>
          <w:rFonts w:hint="eastAsia" w:ascii="仿宋" w:hAnsi="仿宋" w:eastAsia="仿宋" w:cs="仿宋"/>
          <w:kern w:val="0"/>
          <w:sz w:val="36"/>
          <w:u w:val="single"/>
        </w:rPr>
        <w:t xml:space="preserve">                          </w:t>
      </w:r>
    </w:p>
    <w:p w14:paraId="5C15C5D8">
      <w:pPr>
        <w:pStyle w:val="5"/>
        <w:rPr>
          <w:rFonts w:hint="eastAsia" w:ascii="仿宋" w:hAnsi="仿宋" w:eastAsia="仿宋" w:cs="仿宋"/>
          <w:sz w:val="40"/>
          <w:szCs w:val="40"/>
        </w:rPr>
      </w:pPr>
    </w:p>
    <w:p w14:paraId="309E5E2D"/>
    <w:p w14:paraId="0DB4125A"/>
    <w:p w14:paraId="10B70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center"/>
        <w:textAlignment w:val="auto"/>
        <w:rPr>
          <w:rFonts w:hint="eastAsia" w:ascii="华文中宋" w:hAnsi="华文中宋" w:eastAsia="华文中宋" w:cs="华文中宋"/>
          <w:sz w:val="18"/>
          <w:szCs w:val="18"/>
        </w:rPr>
      </w:pPr>
      <w:r>
        <w:rPr>
          <w:rFonts w:hint="default" w:ascii="华文中宋" w:hAnsi="华文中宋" w:eastAsia="华文中宋" w:cs="华文中宋"/>
          <w:sz w:val="32"/>
          <w:szCs w:val="32"/>
          <w:lang w:val="en-US" w:eastAsia="zh-CN"/>
        </w:rPr>
        <w:t>数据要素赋能新型工业化大赛组委会</w:t>
      </w:r>
      <w:r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  <w:t>编</w:t>
      </w:r>
      <w:r>
        <w:rPr>
          <w:rFonts w:hint="eastAsia" w:ascii="华文中宋" w:hAnsi="华文中宋" w:eastAsia="华文中宋" w:cs="华文中宋"/>
          <w:sz w:val="32"/>
          <w:szCs w:val="32"/>
        </w:rPr>
        <w:t>制</w:t>
      </w:r>
    </w:p>
    <w:p w14:paraId="0D054258">
      <w:pPr>
        <w:tabs>
          <w:tab w:val="left" w:pos="5220"/>
        </w:tabs>
        <w:jc w:val="center"/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  <w:t>2026年6</w:t>
      </w:r>
      <w:bookmarkStart w:id="42" w:name="_GoBack"/>
      <w:bookmarkEnd w:id="42"/>
      <w:r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  <w:t>月</w:t>
      </w:r>
    </w:p>
    <w:p w14:paraId="5F0D3ADD">
      <w:pPr>
        <w:rPr>
          <w:rFonts w:hint="eastAsia" w:ascii="黑体" w:hAnsi="黑体" w:eastAsia="黑体" w:cs="方正仿宋_GBK"/>
          <w:sz w:val="44"/>
          <w:szCs w:val="36"/>
        </w:rPr>
      </w:pPr>
      <w:r>
        <w:rPr>
          <w:rFonts w:hint="eastAsia" w:ascii="黑体" w:hAnsi="黑体" w:eastAsia="黑体" w:cs="方正仿宋_GBK"/>
          <w:sz w:val="44"/>
          <w:szCs w:val="36"/>
        </w:rPr>
        <w:br w:type="page"/>
      </w:r>
    </w:p>
    <w:p w14:paraId="58384B95">
      <w:pPr>
        <w:spacing w:line="560" w:lineRule="exact"/>
        <w:jc w:val="center"/>
        <w:rPr>
          <w:rFonts w:hint="eastAsia" w:ascii="黑体" w:hAnsi="黑体" w:eastAsia="黑体" w:cs="方正仿宋_GBK"/>
          <w:sz w:val="44"/>
          <w:szCs w:val="36"/>
        </w:rPr>
      </w:pPr>
    </w:p>
    <w:p w14:paraId="4B0BF7B5">
      <w:pPr>
        <w:spacing w:line="560" w:lineRule="exact"/>
        <w:jc w:val="center"/>
        <w:rPr>
          <w:rFonts w:hint="eastAsia" w:ascii="黑体" w:hAnsi="黑体" w:eastAsia="黑体" w:cs="方正仿宋_GBK"/>
          <w:sz w:val="44"/>
          <w:szCs w:val="36"/>
        </w:rPr>
      </w:pPr>
    </w:p>
    <w:p w14:paraId="18EFE960">
      <w:pPr>
        <w:spacing w:line="560" w:lineRule="exact"/>
        <w:jc w:val="center"/>
        <w:rPr>
          <w:rFonts w:hint="eastAsia" w:ascii="黑体" w:hAnsi="黑体" w:eastAsia="黑体" w:cs="方正仿宋_GBK"/>
          <w:sz w:val="44"/>
          <w:szCs w:val="36"/>
        </w:rPr>
      </w:pPr>
    </w:p>
    <w:p w14:paraId="3116CB4F">
      <w:pPr>
        <w:spacing w:line="560" w:lineRule="exact"/>
        <w:jc w:val="center"/>
        <w:rPr>
          <w:rFonts w:hint="eastAsia" w:ascii="华文中宋" w:hAnsi="华文中宋" w:eastAsia="华文中宋" w:cs="华文中宋"/>
          <w:sz w:val="44"/>
          <w:szCs w:val="36"/>
        </w:rPr>
      </w:pPr>
      <w:r>
        <w:rPr>
          <w:rFonts w:hint="eastAsia" w:ascii="华文中宋" w:hAnsi="华文中宋" w:eastAsia="华文中宋" w:cs="华文中宋"/>
          <w:sz w:val="44"/>
          <w:szCs w:val="36"/>
        </w:rPr>
        <w:t>填 写 说 明</w:t>
      </w:r>
    </w:p>
    <w:p w14:paraId="61556480">
      <w:pPr>
        <w:spacing w:line="560" w:lineRule="exact"/>
        <w:jc w:val="center"/>
        <w:rPr>
          <w:rFonts w:hint="eastAsia" w:ascii="黑体" w:hAnsi="黑体" w:eastAsia="黑体" w:cs="Times New Roman"/>
          <w:sz w:val="44"/>
          <w:szCs w:val="36"/>
        </w:rPr>
      </w:pPr>
    </w:p>
    <w:p w14:paraId="32E032D1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一、申报单位的技术方案原则上需拥有自主知识产权，对提供的全部资料的真实性负责，并签署单位责任声明。</w:t>
      </w:r>
    </w:p>
    <w:p w14:paraId="1C4C5117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二、填写材料要求描述详实、重点突出、表述准确、逻辑清晰、语言精练，具有较强可读性（可结合图、表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、网站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等表达方式），杜绝虚构和夸大。</w:t>
      </w:r>
    </w:p>
    <w:p w14:paraId="0EC4F3C1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三、填写材料不得涉及敏感信息（含国家秘密、商业秘密等），若因材料引发违规或纠纷，责任由申报单位自行承担。</w:t>
      </w:r>
    </w:p>
    <w:p w14:paraId="22BA09E3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br w:type="page"/>
      </w:r>
    </w:p>
    <w:p w14:paraId="24C88258">
      <w:pPr>
        <w:spacing w:line="560" w:lineRule="exact"/>
        <w:jc w:val="left"/>
        <w:rPr>
          <w:rFonts w:hint="eastAsia" w:ascii="华文中宋" w:hAnsi="华文中宋" w:eastAsia="华文中宋" w:cs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一、基本信息</w:t>
      </w:r>
    </w:p>
    <w:tbl>
      <w:tblPr>
        <w:tblStyle w:val="6"/>
        <w:tblW w:w="95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101"/>
        <w:gridCol w:w="868"/>
        <w:gridCol w:w="1740"/>
        <w:gridCol w:w="590"/>
        <w:gridCol w:w="809"/>
        <w:gridCol w:w="3528"/>
      </w:tblGrid>
      <w:tr w14:paraId="22D88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973" w:type="dxa"/>
            <w:gridSpan w:val="2"/>
            <w:noWrap w:val="0"/>
            <w:vAlign w:val="center"/>
          </w:tcPr>
          <w:p w14:paraId="3763AA19">
            <w:pPr>
              <w:snapToGrid w:val="0"/>
              <w:spacing w:before="62" w:beforeLines="2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7535" w:type="dxa"/>
            <w:gridSpan w:val="5"/>
            <w:noWrap w:val="0"/>
            <w:vAlign w:val="top"/>
          </w:tcPr>
          <w:p w14:paraId="1295A305">
            <w:pPr>
              <w:adjustRightInd w:val="0"/>
              <w:snapToGrid w:val="0"/>
              <w:spacing w:before="62" w:beforeLines="2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E7DD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973" w:type="dxa"/>
            <w:gridSpan w:val="2"/>
            <w:noWrap w:val="0"/>
            <w:vAlign w:val="center"/>
          </w:tcPr>
          <w:p w14:paraId="681CBD32">
            <w:pPr>
              <w:snapToGrid w:val="0"/>
              <w:spacing w:before="62" w:beforeLines="2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  <w:p w14:paraId="6161CD1A">
            <w:pPr>
              <w:pStyle w:val="2"/>
              <w:rPr>
                <w:rFonts w:hint="eastAsia" w:eastAsia="仿宋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牵头单位及联合申报单位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7535" w:type="dxa"/>
            <w:gridSpan w:val="5"/>
            <w:noWrap w:val="0"/>
            <w:vAlign w:val="top"/>
          </w:tcPr>
          <w:p w14:paraId="7BF54B2A">
            <w:pPr>
              <w:adjustRightInd w:val="0"/>
              <w:snapToGrid w:val="0"/>
              <w:spacing w:before="62" w:beforeLines="2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3933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3" w:type="dxa"/>
            <w:gridSpan w:val="2"/>
            <w:noWrap w:val="0"/>
            <w:vAlign w:val="center"/>
          </w:tcPr>
          <w:p w14:paraId="65606266">
            <w:pPr>
              <w:snapToGrid w:val="0"/>
              <w:spacing w:before="62" w:beforeLines="2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单位地址</w:t>
            </w:r>
          </w:p>
        </w:tc>
        <w:tc>
          <w:tcPr>
            <w:tcW w:w="7535" w:type="dxa"/>
            <w:gridSpan w:val="5"/>
            <w:noWrap w:val="0"/>
            <w:vAlign w:val="top"/>
          </w:tcPr>
          <w:p w14:paraId="483D7346">
            <w:pPr>
              <w:adjustRightInd w:val="0"/>
              <w:snapToGrid w:val="0"/>
              <w:spacing w:before="62" w:beforeLines="2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省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市/区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             </w:t>
            </w:r>
          </w:p>
        </w:tc>
      </w:tr>
      <w:tr w14:paraId="5E43E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jc w:val="center"/>
        </w:trPr>
        <w:tc>
          <w:tcPr>
            <w:tcW w:w="1973" w:type="dxa"/>
            <w:gridSpan w:val="2"/>
            <w:vMerge w:val="restart"/>
            <w:noWrap w:val="0"/>
            <w:vAlign w:val="center"/>
          </w:tcPr>
          <w:p w14:paraId="3E232CC4">
            <w:pPr>
              <w:snapToGrid w:val="0"/>
              <w:spacing w:before="62" w:beforeLines="20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项目负责人</w:t>
            </w:r>
          </w:p>
        </w:tc>
        <w:tc>
          <w:tcPr>
            <w:tcW w:w="868" w:type="dxa"/>
            <w:noWrap w:val="0"/>
            <w:vAlign w:val="center"/>
          </w:tcPr>
          <w:p w14:paraId="5BB83961">
            <w:pPr>
              <w:snapToGrid w:val="0"/>
              <w:spacing w:before="62" w:beforeLines="2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1740" w:type="dxa"/>
            <w:noWrap w:val="0"/>
            <w:vAlign w:val="center"/>
          </w:tcPr>
          <w:p w14:paraId="749B0E09">
            <w:pPr>
              <w:snapToGrid w:val="0"/>
              <w:spacing w:before="62" w:beforeLines="2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99" w:type="dxa"/>
            <w:gridSpan w:val="2"/>
            <w:noWrap w:val="0"/>
            <w:vAlign w:val="center"/>
          </w:tcPr>
          <w:p w14:paraId="3386BAE6">
            <w:pPr>
              <w:snapToGrid w:val="0"/>
              <w:spacing w:before="62" w:beforeLines="2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电话</w:t>
            </w:r>
          </w:p>
        </w:tc>
        <w:tc>
          <w:tcPr>
            <w:tcW w:w="3528" w:type="dxa"/>
            <w:noWrap w:val="0"/>
            <w:vAlign w:val="center"/>
          </w:tcPr>
          <w:p w14:paraId="483126FE">
            <w:pPr>
              <w:snapToGrid w:val="0"/>
              <w:spacing w:before="62" w:beforeLines="2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36EC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jc w:val="center"/>
        </w:trPr>
        <w:tc>
          <w:tcPr>
            <w:tcW w:w="1973" w:type="dxa"/>
            <w:gridSpan w:val="2"/>
            <w:vMerge w:val="continue"/>
            <w:noWrap w:val="0"/>
            <w:vAlign w:val="center"/>
          </w:tcPr>
          <w:p w14:paraId="2FFB5568">
            <w:pPr>
              <w:snapToGrid w:val="0"/>
              <w:spacing w:before="62" w:beforeLines="2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68" w:type="dxa"/>
            <w:noWrap w:val="0"/>
            <w:vAlign w:val="center"/>
          </w:tcPr>
          <w:p w14:paraId="72D1DFF2">
            <w:pPr>
              <w:snapToGrid w:val="0"/>
              <w:spacing w:before="62" w:beforeLines="2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职务</w:t>
            </w:r>
          </w:p>
        </w:tc>
        <w:tc>
          <w:tcPr>
            <w:tcW w:w="1740" w:type="dxa"/>
            <w:noWrap w:val="0"/>
            <w:vAlign w:val="center"/>
          </w:tcPr>
          <w:p w14:paraId="4248E72D">
            <w:pPr>
              <w:snapToGrid w:val="0"/>
              <w:spacing w:before="62" w:beforeLines="2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99" w:type="dxa"/>
            <w:gridSpan w:val="2"/>
            <w:noWrap w:val="0"/>
            <w:vAlign w:val="center"/>
          </w:tcPr>
          <w:p w14:paraId="03E2BA40">
            <w:pPr>
              <w:snapToGrid w:val="0"/>
              <w:spacing w:before="62" w:beforeLines="2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E-mail</w:t>
            </w:r>
          </w:p>
        </w:tc>
        <w:tc>
          <w:tcPr>
            <w:tcW w:w="3528" w:type="dxa"/>
            <w:noWrap w:val="0"/>
            <w:vAlign w:val="center"/>
          </w:tcPr>
          <w:p w14:paraId="34A4F6A7">
            <w:pPr>
              <w:snapToGrid w:val="0"/>
              <w:spacing w:before="62" w:beforeLines="2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58B8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jc w:val="center"/>
        </w:trPr>
        <w:tc>
          <w:tcPr>
            <w:tcW w:w="1973" w:type="dxa"/>
            <w:gridSpan w:val="2"/>
            <w:shd w:val="clear" w:color="auto" w:fill="auto"/>
            <w:noWrap w:val="0"/>
            <w:vAlign w:val="center"/>
          </w:tcPr>
          <w:p w14:paraId="452001B1">
            <w:pPr>
              <w:snapToGrid w:val="0"/>
              <w:spacing w:before="62" w:beforeLines="2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单位介绍</w:t>
            </w:r>
          </w:p>
        </w:tc>
        <w:tc>
          <w:tcPr>
            <w:tcW w:w="7535" w:type="dxa"/>
            <w:gridSpan w:val="5"/>
            <w:shd w:val="clear" w:color="auto" w:fill="auto"/>
            <w:noWrap w:val="0"/>
            <w:vAlign w:val="top"/>
          </w:tcPr>
          <w:p w14:paraId="7B919D11">
            <w:pPr>
              <w:snapToGrid w:val="0"/>
              <w:spacing w:before="62" w:beforeLines="2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单位性质、基本情况、主要业务范围等。2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00字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以内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</w:p>
          <w:p w14:paraId="1F55FC6D">
            <w:pPr>
              <w:pStyle w:val="5"/>
              <w:rPr>
                <w:rFonts w:hint="eastAsia" w:ascii="仿宋" w:hAnsi="仿宋" w:eastAsia="仿宋" w:cs="仿宋"/>
              </w:rPr>
            </w:pPr>
          </w:p>
          <w:p w14:paraId="0F2D169A">
            <w:pPr>
              <w:rPr>
                <w:rFonts w:hint="eastAsia" w:ascii="仿宋" w:hAnsi="仿宋" w:eastAsia="仿宋" w:cs="仿宋"/>
              </w:rPr>
            </w:pPr>
          </w:p>
          <w:p w14:paraId="7BCA0EE0">
            <w:pPr>
              <w:pStyle w:val="5"/>
              <w:rPr>
                <w:rFonts w:hint="eastAsia" w:ascii="仿宋" w:hAnsi="仿宋" w:eastAsia="仿宋" w:cs="仿宋"/>
              </w:rPr>
            </w:pPr>
          </w:p>
          <w:p w14:paraId="7D5C633B">
            <w:pPr>
              <w:rPr>
                <w:rFonts w:hint="eastAsia"/>
              </w:rPr>
            </w:pPr>
          </w:p>
          <w:p w14:paraId="4B2A035F">
            <w:pPr>
              <w:rPr>
                <w:rFonts w:hint="eastAsia" w:ascii="仿宋" w:hAnsi="仿宋" w:eastAsia="仿宋" w:cs="仿宋"/>
              </w:rPr>
            </w:pPr>
          </w:p>
          <w:p w14:paraId="637793DB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A3D5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jc w:val="center"/>
        </w:trPr>
        <w:tc>
          <w:tcPr>
            <w:tcW w:w="1973" w:type="dxa"/>
            <w:gridSpan w:val="2"/>
            <w:shd w:val="clear" w:color="auto" w:fill="auto"/>
            <w:noWrap w:val="0"/>
            <w:vAlign w:val="center"/>
          </w:tcPr>
          <w:p w14:paraId="7B0461D2">
            <w:pPr>
              <w:snapToGrid w:val="0"/>
              <w:spacing w:before="62" w:beforeLines="2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参赛团队</w:t>
            </w:r>
          </w:p>
          <w:p w14:paraId="50489F83">
            <w:pPr>
              <w:snapToGrid w:val="0"/>
              <w:spacing w:before="62" w:beforeLines="2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535" w:type="dxa"/>
            <w:gridSpan w:val="5"/>
            <w:shd w:val="clear" w:color="auto" w:fill="auto"/>
            <w:noWrap w:val="0"/>
            <w:vAlign w:val="top"/>
          </w:tcPr>
          <w:p w14:paraId="7BC89989">
            <w:pPr>
              <w:pStyle w:val="5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  <w:t>（请分别列出参赛团队成员姓名、职务及单位，团队总人数不能超过10人。请将参赛团队负责人列在首位）</w:t>
            </w:r>
          </w:p>
          <w:p w14:paraId="271EE3BD">
            <w:pPr>
              <w:rPr>
                <w:rFonts w:hint="eastAsia" w:ascii="仿宋" w:hAnsi="仿宋" w:eastAsia="仿宋" w:cs="仿宋"/>
                <w:lang w:val="en-US" w:eastAsia="zh-CN"/>
              </w:rPr>
            </w:pPr>
          </w:p>
          <w:p w14:paraId="4BC158B4">
            <w:pPr>
              <w:rPr>
                <w:rFonts w:hint="eastAsia" w:ascii="仿宋" w:hAnsi="仿宋" w:eastAsia="仿宋" w:cs="仿宋"/>
                <w:lang w:val="en-US" w:eastAsia="zh-CN"/>
              </w:rPr>
            </w:pPr>
          </w:p>
          <w:p w14:paraId="41359692">
            <w:pPr>
              <w:rPr>
                <w:rFonts w:hint="eastAsia" w:ascii="仿宋" w:hAnsi="仿宋" w:eastAsia="仿宋" w:cs="仿宋"/>
                <w:lang w:val="en-US" w:eastAsia="zh-CN"/>
              </w:rPr>
            </w:pPr>
          </w:p>
          <w:p w14:paraId="456E2662">
            <w:pPr>
              <w:rPr>
                <w:rFonts w:hint="eastAsia" w:ascii="仿宋" w:hAnsi="仿宋" w:eastAsia="仿宋" w:cs="仿宋"/>
                <w:lang w:val="en-US" w:eastAsia="zh-CN"/>
              </w:rPr>
            </w:pPr>
          </w:p>
          <w:p w14:paraId="69D78128">
            <w:pPr>
              <w:rPr>
                <w:rFonts w:hint="eastAsia" w:ascii="仿宋" w:hAnsi="仿宋" w:eastAsia="仿宋" w:cs="仿宋"/>
                <w:lang w:val="en-US" w:eastAsia="zh-CN"/>
              </w:rPr>
            </w:pPr>
          </w:p>
          <w:p w14:paraId="7295EC39">
            <w:pPr>
              <w:rPr>
                <w:rFonts w:hint="eastAsia" w:ascii="仿宋" w:hAnsi="仿宋" w:eastAsia="仿宋" w:cs="仿宋"/>
                <w:lang w:val="en-US" w:eastAsia="zh-CN"/>
              </w:rPr>
            </w:pPr>
          </w:p>
          <w:p w14:paraId="33049DC5">
            <w:pPr>
              <w:rPr>
                <w:rFonts w:hint="eastAsia" w:ascii="仿宋" w:hAnsi="仿宋" w:eastAsia="仿宋" w:cs="仿宋"/>
                <w:lang w:val="en-US" w:eastAsia="zh-CN"/>
              </w:rPr>
            </w:pPr>
          </w:p>
          <w:p w14:paraId="2C4D5363">
            <w:pP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</w:p>
        </w:tc>
      </w:tr>
      <w:tr w14:paraId="14492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872" w:type="dxa"/>
            <w:vMerge w:val="restart"/>
            <w:noWrap w:val="0"/>
            <w:vAlign w:val="center"/>
          </w:tcPr>
          <w:p w14:paraId="6E60BA76">
            <w:pPr>
              <w:snapToGrid w:val="0"/>
              <w:spacing w:before="62" w:beforeLines="2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赛题方向</w:t>
            </w:r>
          </w:p>
          <w:p w14:paraId="537EFC12">
            <w:pPr>
              <w:snapToGrid w:val="0"/>
              <w:spacing w:before="62" w:beforeLines="20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选择</w:t>
            </w:r>
          </w:p>
        </w:tc>
        <w:tc>
          <w:tcPr>
            <w:tcW w:w="4299" w:type="dxa"/>
            <w:gridSpan w:val="4"/>
            <w:noWrap w:val="0"/>
            <w:vAlign w:val="top"/>
          </w:tcPr>
          <w:p w14:paraId="3934DB6A">
            <w:pPr>
              <w:snapToGrid w:val="0"/>
              <w:spacing w:before="62" w:beforeLines="20"/>
              <w:jc w:val="left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赛道一：</w:t>
            </w:r>
          </w:p>
          <w:p w14:paraId="611196C8">
            <w:pPr>
              <w:snapToGrid w:val="0"/>
              <w:spacing w:before="62" w:beforeLines="20"/>
              <w:jc w:val="left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工业数据技术赛道</w:t>
            </w:r>
          </w:p>
          <w:p w14:paraId="22AEDDC6">
            <w:pPr>
              <w:snapToGrid w:val="0"/>
              <w:spacing w:before="62" w:beforeLines="20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01多模态工业数据智能治理与融合处理技术</w:t>
            </w:r>
          </w:p>
          <w:p w14:paraId="1DBFCEB9">
            <w:pPr>
              <w:snapToGrid w:val="0"/>
              <w:spacing w:before="62" w:beforeLines="20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02工业数据智能化本体建模与人工智能适配技术</w:t>
            </w:r>
          </w:p>
          <w:p w14:paraId="3412D151">
            <w:pPr>
              <w:snapToGrid w:val="0"/>
              <w:spacing w:before="62" w:beforeLines="2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03行业数据跨主体互信认证与隐私计算技术</w:t>
            </w:r>
          </w:p>
        </w:tc>
        <w:tc>
          <w:tcPr>
            <w:tcW w:w="4337" w:type="dxa"/>
            <w:gridSpan w:val="2"/>
            <w:noWrap w:val="0"/>
            <w:vAlign w:val="top"/>
          </w:tcPr>
          <w:p w14:paraId="17B07E26">
            <w:pPr>
              <w:snapToGrid w:val="0"/>
              <w:spacing w:before="62" w:beforeLines="20"/>
              <w:jc w:val="left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赛道二：</w:t>
            </w:r>
          </w:p>
          <w:p w14:paraId="680ADDD3">
            <w:pPr>
              <w:snapToGrid w:val="0"/>
              <w:spacing w:before="62" w:beforeLines="20"/>
              <w:jc w:val="left"/>
              <w:rPr>
                <w:rFonts w:hint="default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工业数据应用赛道</w:t>
            </w:r>
          </w:p>
          <w:p w14:paraId="560FB13B">
            <w:pPr>
              <w:snapToGrid w:val="0"/>
              <w:spacing w:before="62" w:beforeLines="20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04行业大模型研发与“模数共振”场景赋能</w:t>
            </w:r>
          </w:p>
          <w:p w14:paraId="0606E22E">
            <w:pPr>
              <w:snapToGrid w:val="0"/>
              <w:spacing w:before="62" w:beforeLines="20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05工业智能体研发与自主运营场景落地</w:t>
            </w:r>
          </w:p>
          <w:p w14:paraId="60D48360">
            <w:pPr>
              <w:pStyle w:val="2"/>
              <w:rPr>
                <w:rFonts w:hint="eastAsia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06基于行业数据资源库的研发设计与中试验证智能化</w:t>
            </w:r>
          </w:p>
        </w:tc>
      </w:tr>
      <w:tr w14:paraId="061B1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0" w:hRule="atLeast"/>
          <w:jc w:val="center"/>
        </w:trPr>
        <w:tc>
          <w:tcPr>
            <w:tcW w:w="872" w:type="dxa"/>
            <w:vMerge w:val="continue"/>
            <w:noWrap w:val="0"/>
            <w:vAlign w:val="center"/>
          </w:tcPr>
          <w:p w14:paraId="3D061B46">
            <w:pPr>
              <w:pStyle w:val="5"/>
            </w:pPr>
          </w:p>
        </w:tc>
        <w:tc>
          <w:tcPr>
            <w:tcW w:w="4299" w:type="dxa"/>
            <w:gridSpan w:val="4"/>
            <w:noWrap w:val="0"/>
            <w:vAlign w:val="top"/>
          </w:tcPr>
          <w:p w14:paraId="7B6E9738">
            <w:pPr>
              <w:snapToGrid w:val="0"/>
              <w:spacing w:before="62" w:beforeLines="20"/>
              <w:jc w:val="left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赛道三：</w:t>
            </w:r>
          </w:p>
          <w:p w14:paraId="72BAA52B">
            <w:pPr>
              <w:snapToGrid w:val="0"/>
              <w:spacing w:before="62" w:beforeLines="20"/>
              <w:jc w:val="left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工业数据高质量数据集赛道</w:t>
            </w:r>
          </w:p>
          <w:p w14:paraId="32305E56">
            <w:pPr>
              <w:snapToGrid w:val="0"/>
              <w:spacing w:before="62" w:beforeLines="20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07工业数据智能标注与极端场景数据合成技术</w:t>
            </w:r>
          </w:p>
          <w:p w14:paraId="571AF001">
            <w:pPr>
              <w:pStyle w:val="2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08面向行业通识与专识的高质量数据集建设</w:t>
            </w:r>
          </w:p>
          <w:p w14:paraId="2459984C">
            <w:pPr>
              <w:snapToGrid w:val="0"/>
              <w:spacing w:before="62" w:beforeLines="20"/>
              <w:jc w:val="left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09工业多模态高质量数据集评测方法</w:t>
            </w:r>
          </w:p>
        </w:tc>
        <w:tc>
          <w:tcPr>
            <w:tcW w:w="4337" w:type="dxa"/>
            <w:gridSpan w:val="2"/>
            <w:noWrap w:val="0"/>
            <w:vAlign w:val="top"/>
          </w:tcPr>
          <w:p w14:paraId="30C9577B">
            <w:pPr>
              <w:snapToGrid w:val="0"/>
              <w:spacing w:before="62" w:beforeLines="20"/>
              <w:jc w:val="left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赛道四：</w:t>
            </w:r>
          </w:p>
          <w:p w14:paraId="06966EED">
            <w:pPr>
              <w:snapToGrid w:val="0"/>
              <w:spacing w:before="62" w:beforeLines="20"/>
              <w:jc w:val="left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工业数据安全赛道</w:t>
            </w:r>
          </w:p>
          <w:p w14:paraId="4ECF3962">
            <w:pPr>
              <w:snapToGrid w:val="0"/>
              <w:spacing w:before="62" w:beforeLines="20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10工业数据智能分类分级技术</w:t>
            </w:r>
          </w:p>
          <w:p w14:paraId="66216E94">
            <w:pPr>
              <w:snapToGrid w:val="0"/>
              <w:spacing w:before="62" w:beforeLines="20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11工业数据全生命周期安全防护技术</w:t>
            </w:r>
          </w:p>
          <w:p w14:paraId="2F59C87F">
            <w:pPr>
              <w:snapToGrid w:val="0"/>
              <w:spacing w:before="62" w:beforeLines="20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12面向工业大模型的数据安全防护技术</w:t>
            </w:r>
          </w:p>
        </w:tc>
      </w:tr>
      <w:tr w14:paraId="077A6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0" w:hRule="atLeast"/>
          <w:jc w:val="center"/>
        </w:trPr>
        <w:tc>
          <w:tcPr>
            <w:tcW w:w="872" w:type="dxa"/>
            <w:vMerge w:val="continue"/>
            <w:noWrap w:val="0"/>
            <w:vAlign w:val="center"/>
          </w:tcPr>
          <w:p w14:paraId="194D5F52">
            <w:pPr>
              <w:pStyle w:val="5"/>
            </w:pPr>
          </w:p>
        </w:tc>
        <w:tc>
          <w:tcPr>
            <w:tcW w:w="4299" w:type="dxa"/>
            <w:gridSpan w:val="4"/>
            <w:shd w:val="clear" w:color="auto" w:fill="auto"/>
            <w:noWrap w:val="0"/>
            <w:vAlign w:val="top"/>
          </w:tcPr>
          <w:p w14:paraId="58FDFADE">
            <w:pPr>
              <w:snapToGrid w:val="0"/>
              <w:spacing w:before="62" w:beforeLines="20"/>
              <w:jc w:val="left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赛道五：</w:t>
            </w:r>
          </w:p>
          <w:p w14:paraId="4C5F48D2">
            <w:pPr>
              <w:snapToGrid w:val="0"/>
              <w:spacing w:before="62" w:beforeLines="20"/>
              <w:jc w:val="left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工业数据产业生态赛道</w:t>
            </w:r>
          </w:p>
          <w:p w14:paraId="7803CC17">
            <w:pPr>
              <w:snapToGrid w:val="0"/>
              <w:spacing w:before="62" w:beforeLines="20"/>
              <w:jc w:val="left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13工业数据资产化与可信流通应用</w:t>
            </w:r>
          </w:p>
          <w:p w14:paraId="7A703513">
            <w:pPr>
              <w:snapToGrid w:val="0"/>
              <w:spacing w:before="62" w:beforeLines="20"/>
              <w:jc w:val="left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14工业数据供需对接与场景服务应用</w:t>
            </w:r>
          </w:p>
          <w:p w14:paraId="0A9C304B">
            <w:pPr>
              <w:snapToGrid w:val="0"/>
              <w:spacing w:before="62" w:beforeLines="20"/>
              <w:jc w:val="left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15工业数据难题揭榜与人才课题培育</w:t>
            </w:r>
          </w:p>
        </w:tc>
        <w:tc>
          <w:tcPr>
            <w:tcW w:w="4337" w:type="dxa"/>
            <w:gridSpan w:val="2"/>
            <w:shd w:val="clear" w:color="auto" w:fill="auto"/>
            <w:noWrap w:val="0"/>
            <w:vAlign w:val="top"/>
          </w:tcPr>
          <w:p w14:paraId="49CC1DD9">
            <w:pPr>
              <w:snapToGrid w:val="0"/>
              <w:spacing w:before="62" w:beforeLines="20"/>
              <w:jc w:val="left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赛道六：</w:t>
            </w:r>
          </w:p>
          <w:p w14:paraId="28ED6215">
            <w:pPr>
              <w:snapToGrid w:val="0"/>
              <w:spacing w:before="62" w:beforeLines="20"/>
              <w:jc w:val="left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钢铁行业赛道</w:t>
            </w:r>
          </w:p>
          <w:p w14:paraId="27154F91">
            <w:pPr>
              <w:snapToGrid w:val="0"/>
              <w:spacing w:before="62" w:beforeLines="20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24数据驱动的钢铁全流程生产经营智能模型与协同决策</w:t>
            </w:r>
          </w:p>
          <w:p w14:paraId="774D4AD0">
            <w:pPr>
              <w:snapToGrid w:val="0"/>
              <w:spacing w:before="62" w:beforeLines="20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25数据要素赋能钢铁绿色低碳与能碳协同优化</w:t>
            </w:r>
          </w:p>
          <w:p w14:paraId="480DB088">
            <w:pPr>
              <w:snapToGrid w:val="0"/>
              <w:spacing w:before="62" w:beforeLines="2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26钢铁数据基础设施、安全合规与可信流通</w:t>
            </w:r>
          </w:p>
        </w:tc>
      </w:tr>
      <w:tr w14:paraId="43FF4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8" w:hRule="atLeast"/>
          <w:jc w:val="center"/>
        </w:trPr>
        <w:tc>
          <w:tcPr>
            <w:tcW w:w="872" w:type="dxa"/>
            <w:vMerge w:val="continue"/>
            <w:noWrap w:val="0"/>
            <w:vAlign w:val="center"/>
          </w:tcPr>
          <w:p w14:paraId="3A6F334A">
            <w:pPr>
              <w:pStyle w:val="5"/>
            </w:pPr>
          </w:p>
        </w:tc>
        <w:tc>
          <w:tcPr>
            <w:tcW w:w="4299" w:type="dxa"/>
            <w:gridSpan w:val="4"/>
            <w:shd w:val="clear" w:color="auto" w:fill="auto"/>
            <w:noWrap w:val="0"/>
            <w:vAlign w:val="top"/>
          </w:tcPr>
          <w:p w14:paraId="328C80CA">
            <w:pPr>
              <w:snapToGrid w:val="0"/>
              <w:spacing w:before="62" w:beforeLines="20"/>
              <w:jc w:val="left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赛道七：</w:t>
            </w:r>
          </w:p>
          <w:p w14:paraId="0A75846A">
            <w:pPr>
              <w:snapToGrid w:val="0"/>
              <w:spacing w:before="62" w:beforeLines="20"/>
              <w:jc w:val="left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有色金属行业赛道</w:t>
            </w:r>
          </w:p>
          <w:p w14:paraId="5BDA0F9E"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30有色行业流程优化与智能决策</w:t>
            </w:r>
          </w:p>
          <w:p w14:paraId="76369898">
            <w:pPr>
              <w:snapToGrid w:val="0"/>
              <w:spacing w:before="62" w:beforeLines="2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31有色能碳数据治理与绿色制造</w:t>
            </w:r>
          </w:p>
        </w:tc>
        <w:tc>
          <w:tcPr>
            <w:tcW w:w="4337" w:type="dxa"/>
            <w:gridSpan w:val="2"/>
            <w:shd w:val="clear" w:color="auto" w:fill="auto"/>
            <w:noWrap w:val="0"/>
            <w:vAlign w:val="top"/>
          </w:tcPr>
          <w:p w14:paraId="065AA122">
            <w:pPr>
              <w:pStyle w:val="2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4CA3F42E"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br w:type="page"/>
      </w:r>
    </w:p>
    <w:p w14:paraId="73A34D05">
      <w:pPr>
        <w:spacing w:line="560" w:lineRule="exact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介绍</w:t>
      </w:r>
    </w:p>
    <w:p w14:paraId="1579C783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lang w:eastAsia="zh-Hans"/>
        </w:rPr>
      </w:pPr>
      <w:bookmarkStart w:id="0" w:name="_Toc4143"/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项目概述</w:t>
      </w:r>
      <w:bookmarkEnd w:id="0"/>
    </w:p>
    <w:p w14:paraId="53405617">
      <w:pPr>
        <w:pStyle w:val="4"/>
        <w:numPr>
          <w:ilvl w:val="0"/>
          <w:numId w:val="3"/>
        </w:numPr>
        <w:ind w:left="425" w:leftChars="0" w:hanging="425" w:firstLineChars="0"/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</w:pPr>
      <w:bookmarkStart w:id="1" w:name="_Toc27115"/>
      <w:bookmarkStart w:id="2" w:name="_Toc615518888"/>
      <w:bookmarkStart w:id="3" w:name="_Toc11307"/>
      <w:bookmarkStart w:id="4" w:name="_Toc866466031"/>
      <w:bookmarkStart w:id="5" w:name="_Toc22227"/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  <w:t>项目背景</w:t>
      </w:r>
      <w:bookmarkEnd w:id="1"/>
      <w:bookmarkEnd w:id="2"/>
      <w:bookmarkEnd w:id="3"/>
      <w:bookmarkEnd w:id="4"/>
      <w:bookmarkEnd w:id="5"/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  <w:t>（限500</w:t>
      </w:r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Hans"/>
        </w:rPr>
        <w:t>字）</w:t>
      </w:r>
    </w:p>
    <w:p w14:paraId="6EBAF706">
      <w:pPr>
        <w:ind w:firstLine="531" w:firstLineChars="177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zh-CN" w:bidi="th-TH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围绕所选赛题方向，介绍参赛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val="en-US" w:eastAsia="zh-CN"/>
        </w:rPr>
        <w:t>项目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的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val="en-US" w:eastAsia="zh-CN"/>
        </w:rPr>
        <w:t>行业背景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，包括但不限于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val="en-US" w:eastAsia="zh-CN"/>
        </w:rPr>
        <w:t>产业发展现状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、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val="en-US" w:eastAsia="zh-CN"/>
        </w:rPr>
        <w:t>拟解决的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问题、建设目的等内容。</w:t>
      </w:r>
    </w:p>
    <w:p w14:paraId="5EE2ED00">
      <w:pPr>
        <w:pStyle w:val="4"/>
        <w:numPr>
          <w:ilvl w:val="0"/>
          <w:numId w:val="3"/>
        </w:numPr>
        <w:ind w:left="425" w:leftChars="0" w:hanging="425" w:firstLineChars="0"/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</w:pPr>
      <w:bookmarkStart w:id="6" w:name="_Toc10488"/>
      <w:bookmarkStart w:id="7" w:name="_Toc597223017"/>
      <w:bookmarkStart w:id="8" w:name="_Toc607972710"/>
      <w:bookmarkStart w:id="9" w:name="_Toc32044"/>
      <w:bookmarkStart w:id="10" w:name="_Toc17287"/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  <w:t>应用</w:t>
      </w:r>
      <w:bookmarkEnd w:id="6"/>
      <w:bookmarkEnd w:id="7"/>
      <w:bookmarkEnd w:id="8"/>
      <w:bookmarkEnd w:id="9"/>
      <w:bookmarkEnd w:id="10"/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  <w:t>场景（限500</w:t>
      </w:r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Hans"/>
        </w:rPr>
        <w:t>字）</w:t>
      </w:r>
    </w:p>
    <w:p w14:paraId="0C38B1DB">
      <w:pPr>
        <w:ind w:firstLine="531" w:firstLineChars="177"/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简要介绍参赛作品适用的行业范围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val="en-US" w:eastAsia="zh-CN"/>
        </w:rPr>
        <w:t>及应用场景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，主要服务的客户类型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val="en-US" w:eastAsia="zh-CN"/>
        </w:rPr>
        <w:t>及应用需求等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。</w:t>
      </w:r>
    </w:p>
    <w:p w14:paraId="60EF96A8">
      <w:pPr>
        <w:pStyle w:val="4"/>
        <w:numPr>
          <w:ilvl w:val="0"/>
          <w:numId w:val="3"/>
        </w:numPr>
        <w:ind w:left="425" w:leftChars="0" w:hanging="425" w:firstLineChars="0"/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</w:pPr>
      <w:bookmarkStart w:id="11" w:name="_Toc470144544"/>
      <w:bookmarkStart w:id="12" w:name="_Toc188680641"/>
      <w:bookmarkStart w:id="13" w:name="_Toc32587"/>
      <w:bookmarkStart w:id="14" w:name="_Toc29423"/>
      <w:bookmarkStart w:id="15" w:name="_Toc7163"/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  <w:t>核心优势</w:t>
      </w:r>
      <w:bookmarkEnd w:id="11"/>
      <w:bookmarkEnd w:id="12"/>
      <w:bookmarkEnd w:id="13"/>
      <w:bookmarkEnd w:id="14"/>
      <w:bookmarkEnd w:id="15"/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  <w:t>（限1000</w:t>
      </w:r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Hans"/>
        </w:rPr>
        <w:t>字）</w:t>
      </w:r>
    </w:p>
    <w:p w14:paraId="37A8FBA0">
      <w:pPr>
        <w:tabs>
          <w:tab w:val="left" w:pos="2552"/>
        </w:tabs>
        <w:ind w:firstLine="600" w:firstLineChars="200"/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从创新性、有效性和可推广性等方面，简要介绍参赛作品的技术优势、服务优势和产品化优势，与国内外同类解决方案相比具有哪些竞争力。</w:t>
      </w:r>
    </w:p>
    <w:p w14:paraId="431BF5B5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0"/>
          <w:szCs w:val="30"/>
          <w:highlight w:val="none"/>
          <w:lang w:val="en-US" w:eastAsia="zh-Hans" w:bidi="ar-SA"/>
        </w:rPr>
      </w:pPr>
      <w:bookmarkStart w:id="16" w:name="_Toc1469670315"/>
      <w:bookmarkStart w:id="17" w:name="_Toc8889"/>
      <w:bookmarkStart w:id="18" w:name="_Toc24964"/>
      <w:bookmarkStart w:id="19" w:name="_Toc1411219801"/>
      <w:bookmarkStart w:id="20" w:name="_Toc864710006"/>
      <w:bookmarkStart w:id="21" w:name="_Toc1127013695"/>
      <w:bookmarkStart w:id="22" w:name="_Toc923"/>
      <w:bookmarkStart w:id="23" w:name="_Toc19770"/>
      <w:bookmarkStart w:id="24" w:name="_Toc516522410"/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0"/>
          <w:szCs w:val="30"/>
          <w:highlight w:val="none"/>
          <w:lang w:val="en-US" w:eastAsia="zh-Hans" w:bidi="ar-SA"/>
        </w:rPr>
        <w:t>解决方案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152A523">
      <w:pPr>
        <w:pStyle w:val="4"/>
        <w:numPr>
          <w:ilvl w:val="0"/>
          <w:numId w:val="4"/>
        </w:numPr>
        <w:ind w:left="425" w:leftChars="0" w:hanging="425" w:firstLineChars="0"/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  <w:t>数据要素基础（限2000字）</w:t>
      </w:r>
    </w:p>
    <w:p w14:paraId="12347E27">
      <w:pPr>
        <w:ind w:firstLine="531" w:firstLineChars="177"/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项目的数据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eastAsia="zh-CN"/>
        </w:rPr>
        <w:t>来源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范围和渠道。分析数据在项目中的作用是否显著，是否充分体现了数据价值。从数据来源广泛性、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val="en-US" w:eastAsia="zh-CN"/>
        </w:rPr>
        <w:t>数据跨企业流通交易规模、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数据维度、数据价值体现等角度阐述。</w:t>
      </w:r>
    </w:p>
    <w:p w14:paraId="6522B143">
      <w:pPr>
        <w:pStyle w:val="4"/>
        <w:numPr>
          <w:ilvl w:val="0"/>
          <w:numId w:val="4"/>
        </w:numPr>
        <w:ind w:left="425" w:leftChars="0" w:hanging="425" w:firstLineChars="0"/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  <w:t>技术路线（限2000字）</w:t>
      </w:r>
    </w:p>
    <w:p w14:paraId="36A0337E">
      <w:pPr>
        <w:ind w:firstLine="531" w:firstLineChars="177"/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1.技术架构：介绍参赛作品的顶层设计方案、技术架构等。</w:t>
      </w:r>
    </w:p>
    <w:p w14:paraId="75ABB8A2">
      <w:pPr>
        <w:ind w:firstLine="531" w:firstLineChars="177"/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2.数据服务功能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描述解决方案提供的主要数据服务的功能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val="en-US" w:eastAsia="zh-CN"/>
        </w:rPr>
        <w:t>包括不限于应用场景创新水平、高质量数据集建设情况等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。</w:t>
      </w:r>
    </w:p>
    <w:p w14:paraId="7BC8A901">
      <w:pPr>
        <w:ind w:firstLine="531" w:firstLineChars="177"/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3.数据服务及产品效能：介绍解决方案中涉及的主要数据服务产品及产品效能。</w:t>
      </w:r>
    </w:p>
    <w:p w14:paraId="527D54AA">
      <w:pPr>
        <w:pStyle w:val="4"/>
        <w:numPr>
          <w:ilvl w:val="0"/>
          <w:numId w:val="4"/>
        </w:numPr>
        <w:ind w:left="425" w:leftChars="0" w:hanging="425" w:firstLineChars="0"/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  <w:t>数据治理（限2000字）</w:t>
      </w:r>
    </w:p>
    <w:p w14:paraId="0F9D9133">
      <w:pPr>
        <w:ind w:firstLine="531" w:firstLineChars="177"/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val="en-US" w:eastAsia="zh-CN"/>
        </w:rPr>
        <w:t>描述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所申报项目方案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val="en-US" w:eastAsia="zh-CN"/>
        </w:rPr>
        <w:t>在数据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标准化管理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val="en-US" w:eastAsia="zh-CN"/>
        </w:rPr>
        <w:t>数据伦理治理、数据全生命周期管理、数据合规、数据安全运营等方面的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情况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eastAsia="zh-CN"/>
        </w:rPr>
        <w:t>。</w:t>
      </w:r>
    </w:p>
    <w:p w14:paraId="7D56C863">
      <w:pPr>
        <w:pStyle w:val="4"/>
        <w:numPr>
          <w:ilvl w:val="0"/>
          <w:numId w:val="4"/>
        </w:numPr>
        <w:ind w:left="425" w:leftChars="0" w:hanging="425" w:firstLineChars="0"/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/>
        </w:rPr>
      </w:pPr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  <w:t>机制创新与模式创新</w:t>
      </w:r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/>
        </w:rPr>
        <w:t>（限</w:t>
      </w:r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/>
        </w:rPr>
        <w:t>000字）</w:t>
      </w:r>
    </w:p>
    <w:p w14:paraId="214352B9">
      <w:pPr>
        <w:ind w:firstLine="531" w:firstLineChars="177"/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描述所申报项目方案在技术、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val="en-US" w:eastAsia="zh-CN"/>
        </w:rPr>
        <w:t>数据开发模式、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产品、服务等方面的创新水平，以及基于数据驱动开展模式创新和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val="en-US" w:eastAsia="zh-CN"/>
        </w:rPr>
        <w:t>数据流通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机制创新情况。</w:t>
      </w:r>
    </w:p>
    <w:p w14:paraId="2CADF9D9">
      <w:pPr>
        <w:pStyle w:val="4"/>
        <w:numPr>
          <w:ilvl w:val="0"/>
          <w:numId w:val="4"/>
        </w:numPr>
        <w:ind w:left="425" w:leftChars="0" w:hanging="425" w:firstLineChars="0"/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  <w:t>安全保障</w:t>
      </w:r>
    </w:p>
    <w:p w14:paraId="0B48E895">
      <w:pPr>
        <w:tabs>
          <w:tab w:val="left" w:pos="2552"/>
        </w:tabs>
        <w:ind w:firstLine="60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项目数据安全运营的保障条件。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val="en-US" w:eastAsia="zh-CN"/>
        </w:rPr>
        <w:t>包括安全策略、安全技术、安全认证测评等方面采取了哪些措施，形成了哪些技术保障能力。</w:t>
      </w:r>
    </w:p>
    <w:p w14:paraId="0B338CCB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0"/>
          <w:szCs w:val="30"/>
          <w:highlight w:val="none"/>
          <w:lang w:val="en-US" w:eastAsia="zh-Hans" w:bidi="ar-SA"/>
        </w:rPr>
      </w:pPr>
      <w:bookmarkStart w:id="25" w:name="_Toc14014"/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应用成效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0"/>
          <w:szCs w:val="30"/>
          <w:highlight w:val="none"/>
          <w:lang w:val="en-US" w:eastAsia="zh-Hans" w:bidi="ar-SA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限3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0"/>
          <w:szCs w:val="30"/>
          <w:highlight w:val="none"/>
          <w:lang w:val="en-US" w:eastAsia="zh-Hans" w:bidi="ar-SA"/>
        </w:rPr>
        <w:t>000字）</w:t>
      </w:r>
      <w:bookmarkEnd w:id="25"/>
    </w:p>
    <w:p w14:paraId="4574E378">
      <w:pPr>
        <w:ind w:firstLine="531" w:firstLineChars="177"/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</w:pPr>
      <w:bookmarkStart w:id="26" w:name="_Toc1233737967"/>
      <w:bookmarkStart w:id="27" w:name="_Toc445343492"/>
      <w:bookmarkStart w:id="28" w:name="_Toc1999302835"/>
      <w:bookmarkStart w:id="29" w:name="_Toc24123"/>
      <w:bookmarkStart w:id="30" w:name="_Toc27339"/>
      <w:bookmarkStart w:id="31" w:name="_Toc14756"/>
      <w:bookmarkStart w:id="32" w:name="_Toc1610064958"/>
      <w:bookmarkStart w:id="33" w:name="_Toc725371985"/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项目具有实用价值，可行、合理，能够满足行业具体应用需求，相关成果可落地性强。</w:t>
      </w:r>
    </w:p>
    <w:p w14:paraId="0B208B58">
      <w:pPr>
        <w:pStyle w:val="4"/>
        <w:numPr>
          <w:ilvl w:val="0"/>
          <w:numId w:val="5"/>
        </w:numPr>
        <w:ind w:left="425" w:leftChars="0" w:hanging="425" w:firstLineChars="0"/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  <w:t>需求痛点</w:t>
      </w:r>
    </w:p>
    <w:p w14:paraId="4C67E1A3">
      <w:pPr>
        <w:tabs>
          <w:tab w:val="left" w:pos="2552"/>
        </w:tabs>
        <w:ind w:firstLine="60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描述所申报项目方案是否切中所在领域重点、难点、堵点等重要需求。项目所解决问题的重要程度、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val="en-US" w:eastAsia="zh-CN"/>
        </w:rPr>
        <w:t>问题的普遍性/代表性、问题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解决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val="en-US" w:eastAsia="zh-CN"/>
        </w:rPr>
        <w:t>程度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和影响范围。</w:t>
      </w:r>
    </w:p>
    <w:p w14:paraId="7865520C">
      <w:pPr>
        <w:pStyle w:val="4"/>
        <w:numPr>
          <w:ilvl w:val="0"/>
          <w:numId w:val="5"/>
        </w:numPr>
        <w:ind w:left="425" w:leftChars="0" w:hanging="425" w:firstLineChars="0"/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  <w:t>质效提升成效</w:t>
      </w:r>
    </w:p>
    <w:p w14:paraId="04BBE053">
      <w:pPr>
        <w:ind w:firstLine="531" w:firstLineChars="177"/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结合本赛道，描述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val="en-US" w:eastAsia="zh-CN"/>
        </w:rPr>
        <w:t>项目方案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实现的降本、提效、增质等实际效果。包括但不限于项目如何体现数据要素提质增效、发挥数据赋能价值的情况。</w:t>
      </w:r>
    </w:p>
    <w:p w14:paraId="31715EA0">
      <w:pPr>
        <w:pStyle w:val="4"/>
        <w:numPr>
          <w:ilvl w:val="0"/>
          <w:numId w:val="5"/>
        </w:numPr>
        <w:ind w:left="425" w:leftChars="0" w:hanging="425" w:firstLineChars="0"/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  <w:t>经济社会效益</w:t>
      </w:r>
    </w:p>
    <w:p w14:paraId="680FF75D">
      <w:pPr>
        <w:ind w:firstLine="531" w:firstLineChars="177"/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项目落地后带来的经济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val="en-US" w:eastAsia="zh-CN"/>
        </w:rPr>
        <w:t>效益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和社会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val="en-US" w:eastAsia="zh-CN"/>
        </w:rPr>
        <w:t>效益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。</w:t>
      </w:r>
    </w:p>
    <w:bookmarkEnd w:id="26"/>
    <w:bookmarkEnd w:id="27"/>
    <w:bookmarkEnd w:id="28"/>
    <w:bookmarkEnd w:id="29"/>
    <w:bookmarkEnd w:id="30"/>
    <w:bookmarkEnd w:id="31"/>
    <w:bookmarkEnd w:id="32"/>
    <w:bookmarkEnd w:id="33"/>
    <w:p w14:paraId="136A698C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0"/>
          <w:szCs w:val="30"/>
          <w:highlight w:val="none"/>
          <w:lang w:val="en-US" w:eastAsia="zh-Hans" w:bidi="ar-SA"/>
        </w:rPr>
      </w:pPr>
      <w:bookmarkStart w:id="34" w:name="_Toc25428"/>
      <w:bookmarkStart w:id="35" w:name="_Toc29712"/>
      <w:bookmarkStart w:id="36" w:name="_Toc606123236"/>
      <w:bookmarkStart w:id="37" w:name="_Toc907560249"/>
      <w:bookmarkStart w:id="38" w:name="_Toc1479399584"/>
      <w:bookmarkStart w:id="39" w:name="_Toc11212"/>
      <w:bookmarkStart w:id="40" w:name="_Toc2067796906"/>
      <w:bookmarkStart w:id="41" w:name="_Toc62287876"/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0"/>
          <w:szCs w:val="30"/>
          <w:highlight w:val="none"/>
          <w:lang w:val="en-US" w:eastAsia="zh-Hans" w:bidi="ar-SA"/>
        </w:rPr>
        <w:t>商业模式（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限3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0"/>
          <w:szCs w:val="30"/>
          <w:highlight w:val="none"/>
          <w:lang w:val="en-US" w:eastAsia="zh-Hans" w:bidi="ar-SA"/>
        </w:rPr>
        <w:t>000字）</w:t>
      </w:r>
      <w:bookmarkEnd w:id="34"/>
    </w:p>
    <w:p w14:paraId="0C86455D">
      <w:pPr>
        <w:ind w:firstLine="531" w:firstLineChars="177"/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项目能为运用数据要素价值释放带动行业发展提供可参考、可复制的解决方案，可作为示范项目大规模推广。</w:t>
      </w:r>
    </w:p>
    <w:p w14:paraId="64E9EBC8">
      <w:pPr>
        <w:pStyle w:val="4"/>
        <w:numPr>
          <w:ilvl w:val="0"/>
          <w:numId w:val="6"/>
        </w:numPr>
        <w:ind w:left="425" w:leftChars="0" w:hanging="425" w:firstLineChars="0"/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  <w:t>推广示范价值</w:t>
      </w:r>
    </w:p>
    <w:p w14:paraId="0243D225">
      <w:pPr>
        <w:ind w:firstLine="531" w:firstLineChars="177"/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围绕解决方案的市场潜力，开展成长性分析。如潜在用户规模、行业领域、市场份额等情况。项目是否形成具有可复制、可推广的运用数据要素赋能行业的解决方案或应用模式。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val="en-US" w:eastAsia="zh-CN"/>
        </w:rPr>
        <w:t>项目是否具备数据治理标准推广水平或数据流通生态构建水平。</w:t>
      </w:r>
    </w:p>
    <w:p w14:paraId="59B6EA83">
      <w:pPr>
        <w:pStyle w:val="4"/>
        <w:numPr>
          <w:ilvl w:val="0"/>
          <w:numId w:val="6"/>
        </w:numPr>
        <w:ind w:left="425" w:leftChars="0" w:hanging="425" w:firstLineChars="0"/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  <w:t>模式可持续性</w:t>
      </w:r>
    </w:p>
    <w:p w14:paraId="15BEEE37">
      <w:pPr>
        <w:ind w:firstLine="531" w:firstLineChars="177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说明解决方案的市场策略，包括数据来源、数据要素利用模式、产品价格、成本核算、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val="en-US" w:eastAsia="zh-CN"/>
        </w:rPr>
        <w:t>盈利模式及稳定性、未来应用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空间、推广渠道、宣传方式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val="en-US" w:eastAsia="zh-CN"/>
        </w:rPr>
        <w:t>等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，如有可提供成本、收入、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val="en-US" w:eastAsia="zh-CN"/>
        </w:rPr>
        <w:t>未来应用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空间等测算说明。</w:t>
      </w:r>
      <w:bookmarkEnd w:id="35"/>
      <w:bookmarkEnd w:id="36"/>
      <w:bookmarkEnd w:id="37"/>
      <w:bookmarkEnd w:id="38"/>
      <w:bookmarkEnd w:id="39"/>
      <w:bookmarkEnd w:id="40"/>
      <w:bookmarkEnd w:id="41"/>
    </w:p>
    <w:sectPr>
      <w:pgSz w:w="11906" w:h="16838"/>
      <w:pgMar w:top="1440" w:right="1706" w:bottom="1440" w:left="16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DE310A"/>
    <w:multiLevelType w:val="singleLevel"/>
    <w:tmpl w:val="BEDE310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D62ECBD3"/>
    <w:multiLevelType w:val="singleLevel"/>
    <w:tmpl w:val="D62ECBD3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DAE65295"/>
    <w:multiLevelType w:val="singleLevel"/>
    <w:tmpl w:val="DAE65295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3">
    <w:nsid w:val="F77EA5CF"/>
    <w:multiLevelType w:val="singleLevel"/>
    <w:tmpl w:val="F77EA5C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5E331DB3"/>
    <w:multiLevelType w:val="multilevel"/>
    <w:tmpl w:val="5E331DB3"/>
    <w:lvl w:ilvl="0" w:tentative="0">
      <w:start w:val="10"/>
      <w:numFmt w:val="decimal"/>
      <w:suff w:val="space"/>
      <w:lvlText w:val="%1."/>
      <w:lvlJc w:val="left"/>
      <w:pPr>
        <w:ind w:left="0" w:firstLine="0"/>
      </w:pPr>
      <w:rPr>
        <w:rFonts w:hint="default" w:ascii="Times New Roman" w:hAnsi="Times New Roman"/>
        <w:b/>
        <w:i w:val="0"/>
      </w:rPr>
    </w:lvl>
    <w:lvl w:ilvl="1" w:tentative="0">
      <w:start w:val="1"/>
      <w:numFmt w:val="decimal"/>
      <w:pStyle w:val="3"/>
      <w:isLgl/>
      <w:suff w:val="space"/>
      <w:lvlText w:val="%1.%2."/>
      <w:lvlJc w:val="left"/>
      <w:pPr>
        <w:ind w:left="0" w:firstLine="0"/>
      </w:pPr>
      <w:rPr>
        <w:rFonts w:hint="default" w:ascii="Times New Roman" w:hAnsi="Times New Roman"/>
        <w:b/>
        <w:i w:val="0"/>
      </w:rPr>
    </w:lvl>
    <w:lvl w:ilvl="2" w:tentative="0">
      <w:start w:val="1"/>
      <w:numFmt w:val="decimal"/>
      <w:pStyle w:val="4"/>
      <w:isLgl/>
      <w:suff w:val="space"/>
      <w:lvlText w:val="%1.%2.%3."/>
      <w:lvlJc w:val="left"/>
      <w:pPr>
        <w:ind w:left="0" w:firstLine="0"/>
      </w:pPr>
      <w:rPr>
        <w:rFonts w:hint="default" w:ascii="Times New Roman" w:hAnsi="Times New Roman"/>
      </w:rPr>
    </w:lvl>
    <w:lvl w:ilvl="3" w:tentative="0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 w:ascii="Times New Roman" w:hAnsi="Times New Roman"/>
        <w:b/>
        <w:i w:val="0"/>
      </w:rPr>
    </w:lvl>
    <w:lvl w:ilvl="4" w:tentative="0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 w:ascii="Times New Roman" w:hAnsi="Times New Roman"/>
      </w:rPr>
    </w:lvl>
    <w:lvl w:ilvl="5" w:tentative="0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 w:ascii="Times New Roman" w:hAnsi="Times New Roman"/>
      </w:rPr>
    </w:lvl>
    <w:lvl w:ilvl="6" w:tentative="0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 w:ascii="Times New Roman" w:hAnsi="Times New Roman"/>
      </w:rPr>
    </w:lvl>
    <w:lvl w:ilvl="7" w:tentative="0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 w:ascii="Times New Roman" w:hAnsi="Times New Roman"/>
        <w:b/>
        <w:i w:val="0"/>
      </w:rPr>
    </w:lvl>
    <w:lvl w:ilvl="8" w:tentative="0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 w:ascii="Times New Roman" w:hAnsi="Times New Roman"/>
        <w:b/>
        <w:i w:val="0"/>
      </w:rPr>
    </w:lvl>
  </w:abstractNum>
  <w:abstractNum w:abstractNumId="5">
    <w:nsid w:val="7BE5460B"/>
    <w:multiLevelType w:val="singleLevel"/>
    <w:tmpl w:val="7BE5460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1F4E07"/>
    <w:rsid w:val="00265E6A"/>
    <w:rsid w:val="05C522A6"/>
    <w:rsid w:val="07DA21D6"/>
    <w:rsid w:val="0B7E0FA8"/>
    <w:rsid w:val="0C271152"/>
    <w:rsid w:val="0C662595"/>
    <w:rsid w:val="0C94770E"/>
    <w:rsid w:val="10A70D5A"/>
    <w:rsid w:val="11663171"/>
    <w:rsid w:val="1235379A"/>
    <w:rsid w:val="162626FF"/>
    <w:rsid w:val="176D0102"/>
    <w:rsid w:val="1A4729C7"/>
    <w:rsid w:val="2268412D"/>
    <w:rsid w:val="247B218E"/>
    <w:rsid w:val="259A6005"/>
    <w:rsid w:val="29BC69FA"/>
    <w:rsid w:val="2C407C7F"/>
    <w:rsid w:val="2CF01FE0"/>
    <w:rsid w:val="2FA93D4E"/>
    <w:rsid w:val="30937A49"/>
    <w:rsid w:val="309F19DD"/>
    <w:rsid w:val="35236BC5"/>
    <w:rsid w:val="361F4E07"/>
    <w:rsid w:val="3E133F77"/>
    <w:rsid w:val="41205969"/>
    <w:rsid w:val="49A17B3D"/>
    <w:rsid w:val="4BE54C9E"/>
    <w:rsid w:val="4CA2571C"/>
    <w:rsid w:val="4F85704E"/>
    <w:rsid w:val="53F759AF"/>
    <w:rsid w:val="58A066BE"/>
    <w:rsid w:val="59D71E29"/>
    <w:rsid w:val="5C932A98"/>
    <w:rsid w:val="5DEA0649"/>
    <w:rsid w:val="5EA246E7"/>
    <w:rsid w:val="5FB7ECFE"/>
    <w:rsid w:val="635B3005"/>
    <w:rsid w:val="665847E5"/>
    <w:rsid w:val="6D8625AF"/>
    <w:rsid w:val="6FE037DF"/>
    <w:rsid w:val="736B748E"/>
    <w:rsid w:val="742B3D05"/>
    <w:rsid w:val="768F2113"/>
    <w:rsid w:val="783E1615"/>
    <w:rsid w:val="78521679"/>
    <w:rsid w:val="78761F19"/>
    <w:rsid w:val="79F80F97"/>
    <w:rsid w:val="7F02727C"/>
    <w:rsid w:val="7FC248DA"/>
    <w:rsid w:val="C6BFB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1"/>
    <w:pPr>
      <w:keepNext/>
      <w:keepLines/>
      <w:numPr>
        <w:ilvl w:val="1"/>
        <w:numId w:val="1"/>
      </w:numPr>
      <w:spacing w:line="360" w:lineRule="auto"/>
      <w:outlineLvl w:val="1"/>
    </w:pPr>
    <w:rPr>
      <w:rFonts w:ascii="Times New Roman" w:hAnsi="Times New Roman" w:eastAsia="黑体" w:cstheme="majorBidi"/>
      <w:b/>
      <w:bCs/>
      <w:kern w:val="2"/>
      <w:sz w:val="32"/>
      <w:szCs w:val="32"/>
      <w:lang w:val="en-US" w:eastAsia="zh-CN" w:bidi="ar-SA"/>
    </w:rPr>
  </w:style>
  <w:style w:type="paragraph" w:styleId="4">
    <w:name w:val="heading 3"/>
    <w:basedOn w:val="1"/>
    <w:next w:val="1"/>
    <w:qFormat/>
    <w:uiPriority w:val="1"/>
    <w:pPr>
      <w:keepNext/>
      <w:keepLines/>
      <w:numPr>
        <w:ilvl w:val="2"/>
        <w:numId w:val="1"/>
      </w:numPr>
      <w:spacing w:line="360" w:lineRule="auto"/>
      <w:outlineLvl w:val="2"/>
    </w:pPr>
    <w:rPr>
      <w:rFonts w:ascii="Times New Roman" w:hAnsi="Times New Roman" w:eastAsia="黑体" w:cstheme="minorBidi"/>
      <w:b/>
      <w:bCs/>
      <w:kern w:val="2"/>
      <w:sz w:val="30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</w:style>
  <w:style w:type="paragraph" w:styleId="5">
    <w:name w:val="toa heading"/>
    <w:basedOn w:val="1"/>
    <w:next w:val="1"/>
    <w:qFormat/>
    <w:uiPriority w:val="0"/>
    <w:pPr>
      <w:spacing w:before="120" w:beforeLines="0" w:afterLines="0"/>
    </w:pPr>
    <w:rPr>
      <w:rFonts w:hint="default" w:ascii="Arial" w:hAnsi="Arial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1881</Words>
  <Characters>1963</Characters>
  <Lines>0</Lines>
  <Paragraphs>0</Paragraphs>
  <TotalTime>7</TotalTime>
  <ScaleCrop>false</ScaleCrop>
  <LinksUpToDate>false</LinksUpToDate>
  <CharactersWithSpaces>2113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2025-05-10T01:42:00Z</dcterms:created>
  <dc:creator>偷得浮生半日闲</dc:creator>
  <cp:lastModifiedBy>白白</cp:lastModifiedBy>
  <dcterms:modified xsi:type="dcterms:W3CDTF">2026-06-23T09:15:14Z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DEAAFC9AC6B5459A86AC78966A222F0E_13</vt:lpwstr>
  </property>
  <property fmtid="{D5CDD505-2E9C-101B-9397-08002B2CF9AE}" pid="4" name="KSOTemplateDocerSaveRecord">
    <vt:lpwstr>eyJoZGlkIjoiYzE1ZjkzYjgzYjFhZGNmMzgwYTg4MTMzNzQ3YTJlMWMiLCJ1c2VySWQiOiI4Njg4MTM3NzYifQ==</vt:lpwstr>
  </property>
</Properties>
</file>